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26" w:rsidRPr="00936D1C" w:rsidRDefault="009C7326">
      <w:pPr>
        <w:rPr>
          <w:rFonts w:ascii="Times New Roman" w:hAnsi="Times New Roman" w:cs="Times New Roman"/>
          <w:sz w:val="20"/>
          <w:szCs w:val="20"/>
        </w:rPr>
      </w:pPr>
    </w:p>
    <w:p w:rsidR="0003455B" w:rsidRPr="00936D1C" w:rsidRDefault="0003455B">
      <w:pPr>
        <w:rPr>
          <w:rFonts w:ascii="Times New Roman" w:hAnsi="Times New Roman" w:cs="Times New Roman"/>
          <w:sz w:val="20"/>
          <w:szCs w:val="20"/>
        </w:rPr>
      </w:pPr>
    </w:p>
    <w:p w:rsidR="0003455B" w:rsidRPr="00936D1C" w:rsidRDefault="0003455B" w:rsidP="000345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</w:pPr>
    </w:p>
    <w:p w:rsidR="0003455B" w:rsidRPr="00936D1C" w:rsidRDefault="0003455B" w:rsidP="000345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</w:pPr>
      <w:r w:rsidRPr="00936D1C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 w:bidi="hi-IN"/>
        </w:rPr>
        <w:t>Сравнительная таблица</w:t>
      </w:r>
    </w:p>
    <w:tbl>
      <w:tblPr>
        <w:tblW w:w="15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6124"/>
        <w:gridCol w:w="3666"/>
      </w:tblGrid>
      <w:tr w:rsidR="0003455B" w:rsidRPr="00936D1C" w:rsidTr="0082186D">
        <w:tc>
          <w:tcPr>
            <w:tcW w:w="6096" w:type="dxa"/>
          </w:tcPr>
          <w:p w:rsidR="0003455B" w:rsidRPr="00936D1C" w:rsidRDefault="0003455B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Действующая редакция решения Совета депутатов  городского поселения Пионерский от 30.01.2019 №67</w:t>
            </w:r>
          </w:p>
        </w:tc>
        <w:tc>
          <w:tcPr>
            <w:tcW w:w="6124" w:type="dxa"/>
          </w:tcPr>
          <w:p w:rsidR="0003455B" w:rsidRPr="00936D1C" w:rsidRDefault="0003455B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Редакция решения Совета депутатов  городского поселения Пионерский с учетом вносимых изменений от 30.01.2019 №67</w:t>
            </w:r>
          </w:p>
        </w:tc>
        <w:tc>
          <w:tcPr>
            <w:tcW w:w="3666" w:type="dxa"/>
          </w:tcPr>
          <w:p w:rsidR="0003455B" w:rsidRPr="00936D1C" w:rsidRDefault="0003455B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Нормы закона</w:t>
            </w:r>
            <w:r w:rsidR="007667EB" w:rsidRPr="00936D1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, подзаконного акта</w:t>
            </w:r>
            <w:r w:rsidRPr="00936D1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в соответствии с которыми вносятся изменения</w:t>
            </w:r>
          </w:p>
        </w:tc>
      </w:tr>
      <w:tr w:rsidR="00D24B9D" w:rsidRPr="00936D1C" w:rsidTr="0082186D">
        <w:trPr>
          <w:trHeight w:val="299"/>
        </w:trPr>
        <w:tc>
          <w:tcPr>
            <w:tcW w:w="6096" w:type="dxa"/>
          </w:tcPr>
          <w:p w:rsidR="00D24B9D" w:rsidRPr="00936D1C" w:rsidRDefault="00C15BF8" w:rsidP="005A5A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абзац первый части 22 статьи 8 приложения к решению</w:t>
            </w:r>
          </w:p>
        </w:tc>
        <w:tc>
          <w:tcPr>
            <w:tcW w:w="6124" w:type="dxa"/>
          </w:tcPr>
          <w:p w:rsidR="00D24B9D" w:rsidRPr="00936D1C" w:rsidRDefault="0082186D" w:rsidP="005A5A71">
            <w:pPr>
              <w:widowControl w:val="0"/>
              <w:suppressAutoHyphens/>
              <w:spacing w:after="0" w:line="240" w:lineRule="auto"/>
              <w:ind w:firstLine="91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8218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абзац первый части 22 статьи 8 приложения к решению</w:t>
            </w:r>
          </w:p>
        </w:tc>
        <w:tc>
          <w:tcPr>
            <w:tcW w:w="3666" w:type="dxa"/>
          </w:tcPr>
          <w:p w:rsidR="00D24B9D" w:rsidRPr="00936D1C" w:rsidRDefault="00D24B9D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82859" w:rsidRPr="00936D1C" w:rsidTr="0082186D">
        <w:trPr>
          <w:trHeight w:val="299"/>
        </w:trPr>
        <w:tc>
          <w:tcPr>
            <w:tcW w:w="6096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hAnsi="Times New Roman" w:cs="Times New Roman"/>
                <w:sz w:val="20"/>
                <w:szCs w:val="20"/>
              </w:rPr>
              <w:t>22. Саженцы деревьев и кустарников для озеленения территорий (вновь приобретаемые) должны соответствовать ОСТ 56-98-93, деревья декоративных лиственных пород - ГОСТ 24909-81, деревья хвойных пород - ГОСТ 25769-83, декоративные кустарники - ГОСТ 26869-86, деревья и кустарники садовые и архитектурные формы - ГОСТ 28055-89. Работы по озеленению должны выполняться только после расстилки растительного грунта, устройства проездов, тротуаров, дорожек, площадок и оград и уборки остатков строительного мусора после их строительства.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абзац первый части 22 статьи 8 приложения к решению изложить в следующей редакции: </w:t>
            </w:r>
          </w:p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22. Саженцы деревьев и кустарников для озеленения территорий (вновь приобретаемые) должны соответствовать требованиям действующих ГОСТ. Работы по озеленению должны выполняться только после расстилки растительного грунта, устройства проездов, тротуаров, дорожек, площадок и оград, и уборки остатков строительного мусора после их строительства.</w:t>
            </w:r>
          </w:p>
        </w:tc>
        <w:tc>
          <w:tcPr>
            <w:tcW w:w="3666" w:type="dxa"/>
            <w:vMerge w:val="restart"/>
          </w:tcPr>
          <w:p w:rsidR="00282859" w:rsidRPr="00936D1C" w:rsidRDefault="0042465B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закон</w:t>
            </w:r>
            <w:r w:rsidR="00282859" w:rsidRPr="002828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</w:t>
            </w:r>
            <w:r w:rsidR="002828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282859" w:rsidRPr="00936D1C" w:rsidRDefault="00282859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82859" w:rsidRPr="00936D1C" w:rsidRDefault="0042465B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46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Закон Ханты-Мансийского АО - Югры от 22 декабря 2018 г. № 116-оз «Об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      </w:r>
          </w:p>
        </w:tc>
      </w:tr>
      <w:tr w:rsidR="00282859" w:rsidRPr="00936D1C" w:rsidTr="0082186D">
        <w:trPr>
          <w:trHeight w:val="299"/>
        </w:trPr>
        <w:tc>
          <w:tcPr>
            <w:tcW w:w="6096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2 части 44 статьи 8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2 части 44 статьи 8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82859" w:rsidRPr="00936D1C" w:rsidTr="0082186D">
        <w:trPr>
          <w:trHeight w:val="299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2) пригодность растительного грунта должна соответствовать требованиям ГОСТ 26213. Если в грунт вносились какие-либо добавки, то это должно быть подтверждено записями в журнале производства работ;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2) пригодность растительного грунта должна соответствовать требованиям действующих ГОСТ. Если в грунт вносились какие-либо добавки, то это должно быть подтверждено записями в журнале производства работ;</w:t>
            </w:r>
          </w:p>
        </w:tc>
        <w:tc>
          <w:tcPr>
            <w:tcW w:w="3666" w:type="dxa"/>
            <w:vMerge/>
          </w:tcPr>
          <w:p w:rsidR="00282859" w:rsidRPr="00936D1C" w:rsidRDefault="00282859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82859" w:rsidRPr="00936D1C" w:rsidTr="0082186D">
        <w:trPr>
          <w:trHeight w:val="337"/>
        </w:trPr>
        <w:tc>
          <w:tcPr>
            <w:tcW w:w="6096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пункт 3 части 44 статьи 8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пункт 3 части 44 статьи 8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867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 высаженный посадочный материал должен соответствовать проекту или группам взаимозаменяемости растений древесных пород (приложение В СП 82.13330.2016);</w:t>
            </w:r>
          </w:p>
          <w:p w:rsidR="00282859" w:rsidRPr="00936D1C" w:rsidRDefault="00282859" w:rsidP="005A5A71">
            <w:pPr>
              <w:ind w:firstLine="9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3) высаженный посадочный материал должен соответствовать проекту или группам взаимозаменяемости растений древесных пород, в соответствии с СП;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322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8 статьи 10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8 статьи 10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1252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8. При рассмотрении вопросов, касающихся сопряжений поверхностей, следует руководствоваться требованиями, предусмотренными в нормативных предписаниях СП 42.13330.2011, СП 34.13330.20121, СП 59.13330.20120.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8. При рассмотрении вопросов, касающихся сопряжений поверхностей, следует руководствоваться требованиями, предусмотренными в нормативных предписаниях СП.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412"/>
        </w:trPr>
        <w:tc>
          <w:tcPr>
            <w:tcW w:w="6096" w:type="dxa"/>
          </w:tcPr>
          <w:p w:rsidR="00282859" w:rsidRPr="00936D1C" w:rsidRDefault="00282859" w:rsidP="008218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</w:t>
            </w: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 9 статьи 11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часть 9 статьи 11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9. Ограждения транспортных сооружений городского поселения проектируются и устанавливаются в соответствии с ГОСТ 26804-86, ГОСТ Р 52289-20019, ГОСТ Р 52607-2006.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9. Ограждения магистралей и транспортных сооружений города проектируются и устанавливаются в соответствии с требованиями действующих ГОСТ.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241"/>
        </w:trPr>
        <w:tc>
          <w:tcPr>
            <w:tcW w:w="6096" w:type="dxa"/>
          </w:tcPr>
          <w:p w:rsidR="00282859" w:rsidRPr="00936D1C" w:rsidRDefault="00282859" w:rsidP="008218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10 статьи 11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10 статьи 11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 Проектирование и строительство постоянных и временных оград производится в соответствии с требованиями раздела 7 СП 82.13330.2016.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10. Проектирование и строительство постоянных и временных оград производится в соответствии с требованиями действующего СП.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6 статьи 18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6 статьи 18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Конструкции и детали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 СП 28.13330.2017.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6. Конструкции и детали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 требованиям действующего СП.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 4 части 4 статьи 19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4 части 4 статьи 19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4) неусовершенствованные виды оснований и покрытий, а также оснований и покрытий для спортивных площадок следует выполнять из следующих основных материалов: щебня, гравия, кирпичного щебня и шлака фракций размерами 5 - 120 мм, каменной, кирпичной и шлаковой крошки фракций размерами 2 - 5 мм, высевок строительного мусора без органических включений, а также из </w:t>
            </w: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песков с коэффициентом фильтрации не менее 2,5 м/</w:t>
            </w:r>
            <w:proofErr w:type="spellStart"/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сут</w:t>
            </w:r>
            <w:proofErr w:type="spellEnd"/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согласно СП 82.13330.2016;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4) неусовершенствованные виды оснований и покрытий, а также оснований и покрытий для спортивных площадок следует выполнять из следующих основных материалов: щебня, гравия, кирпичного щебня и шлака фракций размерами 5 - 120 мм, каменной, кирпичной и шлаковой крошки фракций размерами 2 - 5 мм, высевок строительного мусора без органических включений, а также из песков с коэффициентом фильтрации не менее 2,5 м/</w:t>
            </w:r>
            <w:proofErr w:type="spellStart"/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сут</w:t>
            </w:r>
            <w:proofErr w:type="spellEnd"/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. согласно требованиям действующего СП;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 4 части 4  статьи 19</w:t>
            </w:r>
            <w:r w:rsidR="00C1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приложения к решению 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4 части 4  статьи 19приложения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5) усовершенствованные виды оснований и покрытий следует выполнять из следующих основных материалов: монолитного дорожного бетона класса не ниже В25, сборных железобетонных дорожных плит класса не ниже В25, а также из асфальтобетонных смесей: горячих (температура укладки не ниже +110°С), тёплых (температура укладки не ниже +80°С) и холодных (температура укладки не ниже +10°С) согласно СП 82.13330.2016;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5) усовершенствованные виды оснований и покрытий следует выполнять из следующих основных материалов: монолитного дорожного бетона класса не ниже В25, сборных железобетонных дорожных плит класса не ниже В25, а также из асфальтобетонных смесей: горячих (температура укладки не ниже +110 °C), теплых (температура укладки не ниже +80 °C) и холодных (температура укладки не ниже +10 °C) согласно требованиям действующего СП;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178EE" w:rsidRPr="00936D1C" w:rsidTr="0082186D">
        <w:trPr>
          <w:trHeight w:val="623"/>
        </w:trPr>
        <w:tc>
          <w:tcPr>
            <w:tcW w:w="6096" w:type="dxa"/>
          </w:tcPr>
          <w:p w:rsidR="00C178EE" w:rsidRPr="00C178EE" w:rsidRDefault="00C178EE" w:rsidP="00C17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п</w:t>
            </w:r>
            <w:r w:rsidRPr="00C1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ункт 8 статьи 23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приложения к решению</w:t>
            </w:r>
          </w:p>
        </w:tc>
        <w:tc>
          <w:tcPr>
            <w:tcW w:w="6124" w:type="dxa"/>
          </w:tcPr>
          <w:p w:rsidR="00C178EE" w:rsidRPr="00C178EE" w:rsidRDefault="00C178EE" w:rsidP="00C17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C1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 8 статьи 23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приложения к решению</w:t>
            </w:r>
          </w:p>
        </w:tc>
        <w:tc>
          <w:tcPr>
            <w:tcW w:w="3666" w:type="dxa"/>
            <w:vMerge/>
          </w:tcPr>
          <w:p w:rsidR="00C178EE" w:rsidRPr="00936D1C" w:rsidRDefault="00C178EE" w:rsidP="00C178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178EE" w:rsidRPr="00936D1C" w:rsidTr="0082186D">
        <w:trPr>
          <w:trHeight w:val="623"/>
        </w:trPr>
        <w:tc>
          <w:tcPr>
            <w:tcW w:w="6096" w:type="dxa"/>
          </w:tcPr>
          <w:p w:rsidR="00C178EE" w:rsidRPr="00936D1C" w:rsidRDefault="00C178EE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8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 Запрещается складирование в контейнеры и на контейнерных площадках для ТКО строительных отходов от  капитального ремонта, крупногабаритного мусора, стволов дер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евьев, автомобильных покрышек.</w:t>
            </w:r>
          </w:p>
        </w:tc>
        <w:tc>
          <w:tcPr>
            <w:tcW w:w="6124" w:type="dxa"/>
          </w:tcPr>
          <w:p w:rsidR="00C178EE" w:rsidRPr="00936D1C" w:rsidRDefault="00C178EE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8EE">
              <w:rPr>
                <w:rFonts w:ascii="Times New Roman" w:hAnsi="Times New Roman" w:cs="Times New Roman"/>
                <w:bCs/>
                <w:sz w:val="20"/>
                <w:szCs w:val="20"/>
              </w:rPr>
              <w:t>8. Запрещается складирование в контейнеры и на контейнерных площадках для ТКО строительных отходов, образующихся в результате строительства, текущего и капитального ремонта зданий, сооружений, жилых и нежилых помещений,  крупногабаритного мусора, стволов и ветвей дер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евьев, автомобильных покрышек.</w:t>
            </w:r>
            <w:bookmarkStart w:id="0" w:name="_GoBack"/>
            <w:bookmarkEnd w:id="0"/>
          </w:p>
        </w:tc>
        <w:tc>
          <w:tcPr>
            <w:tcW w:w="3666" w:type="dxa"/>
            <w:vMerge/>
          </w:tcPr>
          <w:p w:rsidR="00C178EE" w:rsidRPr="00936D1C" w:rsidRDefault="00C178EE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5 статьи 25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 5 статьи 25 приложения к решению 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На площадках </w:t>
            </w:r>
            <w:proofErr w:type="spellStart"/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приобъектных</w:t>
            </w:r>
            <w:proofErr w:type="spellEnd"/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автостоянок долю мест для автомобилей инвалидов рекомендуется проектировать согласно СНиП 59.13330.20120.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 На площадках </w:t>
            </w:r>
            <w:proofErr w:type="spellStart"/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приобъектных</w:t>
            </w:r>
            <w:proofErr w:type="spellEnd"/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автостоянок долю мест для автомобилей инвалидов рекомендуется проектировать согласно требованиям действующего СП.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 3 части 2 статьи 27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3 части 2 статьи 27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3) в границах парковых зон и прочих общественных территориях природно-рекреационного типа допускается размещение открытых плоскостных физкультурно-спортивных, физкультурно-досуговых и детских площадок в соответствии с </w:t>
            </w: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требованиями СП 42.13330.2016, СанПиН 2.2.1./2.1.1.1200, ГОСТ Р 52024 и ГОСТ Р 52025.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3) в границах парковых зон и прочих общественных территориях природно-рекреационного типа допускается размещение открытых плоскостных физкультурно-спортивных, физкультурно-досуговых и детских площадок в соответствии с требованиями действующих СП, СанПиН, ГОСТ.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3 статьи 27.1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 3  статьи 27.1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Пути движения МГН, входные группы в здания и сооружения следует проектировать в соответствии с требованиями действующих СП, СанПиН. 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3. Пути движения МГН, входные группы в здания и сооружения следует проектировать в соответствии с СП 59.13330.2020 «Свод правил. Доступность зданий и сооружений для маломобильных групп населения. СНиП 35-01-2001».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 17 статьи 29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17 статьи 29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 В жилой зоне запрещаются авторемонтные работы, сквозное движение, учебная езда, стоянка с работающим двигателем, а также стоянка грузовых автомобилей с разрешённой максимальной массой более 3,5 т вне специально выделенных и обозначенных знаками и (или) разметкой мест.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17. В жилой зоне запрещаются авторемонтные работы, сквозное движение механических транспортных средств, учебная езда, стоянка с работающим двигателем, а также стоянка грузовых автомобилей с разрешенной максимальной массой более 3,5 т и автобусов вне специально выделенных и обозначенных знаками и (или) разметкой мест.</w:t>
            </w:r>
          </w:p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 2 части 5 статьи 30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2 части 5 статьи 30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 защиты от негативных природных и метеорологических факторов и от вредных техногенных воздействий внешней среды с учётом климатических и ландшафтных условий ДОУ, в том числе в части использования игровых площадок на придомовой территории, в соответствии с СП 2.4.3648-20.</w:t>
            </w:r>
          </w:p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2) защиты от негативных природных и метеорологических факторов и от вредных техногенных воздействий внешней среды с учетом климатических и ландшафтных условий ДОУ, в том числе в части использования игровых площадок на придомовой территории, в соответствии с требованиями действующих СанПиН.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6 статьи 30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6 статьи 30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728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При расположении ДОУ вблизи территорий промышленного или сельскохозяйственного производства, а также их транспортных и коммунальных сооружений необходимо предусматривать меры по защите участка ДОУ от неблагоприятных </w:t>
            </w: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влияний, загрязнений и вредных воздействий этих производств согласно СП 42.13330.2016.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 При расположении ДОУ вблизи территорий промышленного или сельскохозяйственного производства, а также их транспортных и коммунальных сооружений необходимо предусматривать меры по защите участка ДОУ от неблагоприятных влияний, загрязнений и вредных воздействий этих производств согласно требованиям действующего СП.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14 статьи 30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14 статьи 30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 Игровое и физкультурное оборудование, инвентарь, покрытия игровых площадок участков ДОУ должны быть безопасными для использования детьми и соответствовать требованиям ГОСТ Р 52169, ГОСТ Р 52301.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14. Игровое и физкультурное оборудование, инвентарь, покрытия игровых площадок участков ДОУ должны быть безопасными для использования детьми и соответствовать требованиям действующих ГОСТ.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абзац первый части 17 статьи 30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абзац первый части 17 статьи 30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 В III и IV климатических районах согласно СП 131.13330.2020 не менее половины территории основных площадок ДОУ должны быть обеспечены специальными солнцезащитными устройствами и озеленением для ограничения теплового воздействия и инсоляции в жаркое время года.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17. В III и IV климатических районах согласно требованиям действующего СП не менее половины территории основных площадок ДОУ должны быть обеспечены специальными солнцезащитными устройствами и озеленением для ограничения теплового воздействия и инсоляции в жаркое время года.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sz w:val="20"/>
                <w:szCs w:val="20"/>
              </w:rPr>
              <w:t>часть 20 статьи 30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ind w:firstLine="9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sz w:val="20"/>
                <w:szCs w:val="20"/>
              </w:rPr>
              <w:t>часть 20 статьи 30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8758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 Озеленение территории ОО выполняют в соответствии с пунктом 3.1 СанПиН 2.4.2.2821-10.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20. Озеленение территории ОО выполняют в соответствии с требованиями действующих СанПиН.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асть 22 статьи 30 приложения к решению 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 22 статьи 30 приложения к решению 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 На периферии участка или вблизи от него следует предусматривать стоянку автомобилей для педагогов и сотрудников с соблюдением требований СП 113.13330.2016. Стоянку автомобилей рекомендуется отделять от участка территорий полосой зелёных насаждений (крупного кустарника с плотной кроной).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18) часть 22 статьи 30 приложения к решению изложить в следующей редакции: </w:t>
            </w:r>
          </w:p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«22. На периферии участка или вблизи от него следует предусматривать стоянку автомобилей для педагогов и сотрудников с соблюдением требований действующих СП. Стоянку автомобилей рекомендуется отделять от участка территорий полосой зеленых насаждений (крупного кустарника с плотной кроной).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23 статьи 30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23 статьи 30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23. В соответствии с требованиями СанПиН 2.4.2.2821-10 территория участка должна быть ограждена, отсутствие ограждения допускается только со стороны стен здания, непосредственно прилегающих к проезжей части улицы или пешеходному тротуару, при этом должен быть обеспечен проезд пожарных автомобилей вокруг здания шириной не менее 3,5 м.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23. В соответствии с требованиями действующих СанПиН территория участка должна быть ограждена, отсутствие ограждения допускается только со стороны стен здания, непосредственно прилегающих к проезжей части улицы или пешеходному тротуару, при этом должен быть обеспечен проезд пожарных автомобилей вокруг здания шириной не менее 3,5 м.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26 статьи 30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26 статьи 30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 Площадку для сбора мусора оборудуют в соответствии с пунктами 3.6 - 3.7 СанПиН 2.4.2.2821-10.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26. Площадку для сбора мусора оборудуют в соответствии с требованиями действующих СанПиН.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31 статьи 30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31 статьи 30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 Требования к участку при размещении объектов спорта, зданиям и помещениям объектов спорта установлены СП 2.1.2.3304-15, СанПиН 2.1.2.1188-03, СанПиН 2.1.2.1331-03.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31. Требования к участку при размещении объектов спорта, зданиям и помещениям объектов спорта установлены действующими СП, СанПиН.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1 статьи 36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части 1 статьи 36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Благоустройство и содержание строительных площадок и прилегающих территорий регламентируется правовыми актами Администрации поселения, утверждёнными проектами организации производства строительных работ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1. Благоустройство и содержание строительных площадок и прилегающих территорий регламентируется нормами федерального законодательства, утверждёнными проектами организации производства строительных работ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3 статьи 36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3 статьи 36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Строительные площадки на </w:t>
            </w:r>
            <w:proofErr w:type="gramStart"/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территории  городского</w:t>
            </w:r>
            <w:proofErr w:type="gramEnd"/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 в обязательном порядке должны иметь ограждение в соответствии с установленными требованиями. В местах движения пешеходов ограждающая конструкция должна иметь козырек и тротуар с ограждением от проезжей части улиц. Содержание ограждений, козырьков, тротуаров, включая удаление мусора, осуществляется организациями, производящими строительные </w:t>
            </w: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работы. Запрещается размещение несанкционированной рекламы и объявлений на ограждениях строительных площадок. Ограждения строительных площадок должны содержаться в чистоте, своевременно очищаться и окрашиваться.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3. Строительные площадки на территории города в обязательном порядке должны иметь ограждение в соответствии с установленными требованиями. Параметры ограждения должны соответствовать требованиям, установленным действующим ГОСТ. В местах движения пешеходов ограждающая конструкция должна иметь козырек и тротуар с ограждением от проезжей части улиц. Содержание ограждений, козырьков, тротуаров, включая удаление мусора, осуществляется организациями, производящими </w:t>
            </w: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строительные работы. Запрещается размещение несанкционированной рекламы и объявлений на ограждениях строительных площадок. Ограждения строительных площадок должны содержаться в чистоте, своевременно очищаться и окрашиваться.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абзаце втором части 6 статьи 36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абзаце втором части 6 статьи 36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Бытовой и строительный мусор, а также снег должны вывозиться своевременно.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Бытовой и строительный мусор должны вывозиться не реже одного раза в неделю, а снег не реже одного раза в течение календарного месяца холодного периода.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5 статьи 37 приложения к решению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5 статьи 37 приложения к решению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2859" w:rsidRPr="00936D1C" w:rsidTr="0082186D">
        <w:trPr>
          <w:trHeight w:val="623"/>
        </w:trPr>
        <w:tc>
          <w:tcPr>
            <w:tcW w:w="6096" w:type="dxa"/>
          </w:tcPr>
          <w:p w:rsidR="00282859" w:rsidRPr="00936D1C" w:rsidRDefault="00282859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Установка ограждений площадок при проведении земляных работ осуществляется в соответствии с требованиями ГОСТ Р 58967-2020.</w:t>
            </w:r>
          </w:p>
        </w:tc>
        <w:tc>
          <w:tcPr>
            <w:tcW w:w="6124" w:type="dxa"/>
          </w:tcPr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 В соответствии с ГОСТ ограждения по функциональному назначению подразделяются на: </w:t>
            </w:r>
          </w:p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защитно-охранные - предназначенные для предотвращения доступа посторонних лиц на территории и участки с опасными и вредными производственными факторами и обеспечения охраны материальных ценностей; </w:t>
            </w:r>
          </w:p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защитные - предназначенные для предотвращения доступа посторонних лиц на территории и участки с опасными и вредными производственными факторами; </w:t>
            </w:r>
          </w:p>
          <w:p w:rsidR="00282859" w:rsidRPr="00936D1C" w:rsidRDefault="00282859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3) сигнальные - предназначенные для предупреждения о границах территорий и участков с опасными и вредными производственными факторами.</w:t>
            </w:r>
          </w:p>
        </w:tc>
        <w:tc>
          <w:tcPr>
            <w:tcW w:w="3666" w:type="dxa"/>
            <w:vMerge/>
          </w:tcPr>
          <w:p w:rsidR="00282859" w:rsidRPr="00936D1C" w:rsidRDefault="00282859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6028A" w:rsidRPr="00936D1C" w:rsidTr="0082186D">
        <w:trPr>
          <w:trHeight w:val="623"/>
        </w:trPr>
        <w:tc>
          <w:tcPr>
            <w:tcW w:w="6096" w:type="dxa"/>
          </w:tcPr>
          <w:p w:rsidR="0026028A" w:rsidRPr="00936D1C" w:rsidRDefault="00824F1D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932A6"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абзац 27 статьи 40 приложения к решению</w:t>
            </w:r>
          </w:p>
        </w:tc>
        <w:tc>
          <w:tcPr>
            <w:tcW w:w="6124" w:type="dxa"/>
          </w:tcPr>
          <w:p w:rsidR="0026028A" w:rsidRPr="00936D1C" w:rsidRDefault="00F932A6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абзац 27 статьи 40 приложения к решению</w:t>
            </w:r>
          </w:p>
        </w:tc>
        <w:tc>
          <w:tcPr>
            <w:tcW w:w="3666" w:type="dxa"/>
          </w:tcPr>
          <w:p w:rsidR="0026028A" w:rsidRPr="00936D1C" w:rsidRDefault="0026028A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15936" w:rsidRPr="00936D1C" w:rsidTr="0082186D">
        <w:trPr>
          <w:trHeight w:val="623"/>
        </w:trPr>
        <w:tc>
          <w:tcPr>
            <w:tcW w:w="6096" w:type="dxa"/>
          </w:tcPr>
          <w:p w:rsidR="00D15936" w:rsidRPr="00936D1C" w:rsidRDefault="00D15936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года № 89-ФЗ «Об отходах производства и потребления». К отходам не относится донный грунт, используемый в порядке, определенном законодательством Российской Федерации.</w:t>
            </w:r>
          </w:p>
        </w:tc>
        <w:tc>
          <w:tcPr>
            <w:tcW w:w="6124" w:type="dxa"/>
          </w:tcPr>
          <w:p w:rsidR="00D15936" w:rsidRPr="00936D1C" w:rsidRDefault="00D15936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года № 89-ФЗ «Об отходах производства и потребления». К отходам не относится донный грунт, используемый в порядке, определенном законодательством Российской Федерации, а также вскрышные и вмещающие горные породы, которые подлежат использованию в соответствии с Законом Российской Федерации от 21 февраля 1992 года № 2395-I «О недрах».</w:t>
            </w:r>
          </w:p>
        </w:tc>
        <w:tc>
          <w:tcPr>
            <w:tcW w:w="3666" w:type="dxa"/>
          </w:tcPr>
          <w:p w:rsidR="0077674C" w:rsidRPr="00936D1C" w:rsidRDefault="0077674C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77674C" w:rsidRPr="00936D1C" w:rsidRDefault="0077674C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Федеральный закон от 24 июня 1998 г. № 89-ФЗ «Об отходах производства и потребления» (с изменениями и дополнениями)</w:t>
            </w:r>
          </w:p>
          <w:p w:rsidR="0077674C" w:rsidRPr="00936D1C" w:rsidRDefault="0077674C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15936" w:rsidRPr="00936D1C" w:rsidTr="0082186D">
        <w:trPr>
          <w:trHeight w:val="623"/>
        </w:trPr>
        <w:tc>
          <w:tcPr>
            <w:tcW w:w="6096" w:type="dxa"/>
          </w:tcPr>
          <w:p w:rsidR="00D15936" w:rsidRPr="00936D1C" w:rsidRDefault="00D15936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пункт  5 статьи 38 приложения к решению</w:t>
            </w:r>
          </w:p>
        </w:tc>
        <w:tc>
          <w:tcPr>
            <w:tcW w:w="6124" w:type="dxa"/>
          </w:tcPr>
          <w:p w:rsidR="00D15936" w:rsidRPr="00936D1C" w:rsidRDefault="00D15936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 5 статьи 38 приложения к решению</w:t>
            </w:r>
          </w:p>
        </w:tc>
        <w:tc>
          <w:tcPr>
            <w:tcW w:w="3666" w:type="dxa"/>
            <w:vMerge w:val="restart"/>
          </w:tcPr>
          <w:p w:rsidR="00D15936" w:rsidRPr="00936D1C" w:rsidRDefault="0077674C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936D1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Федеральный закон от 27 декабря 2018 г. № 498-ФЗ «Об ответственном обращении с животными и о внесении изменений в отдельные законодательные акты Российской Федерации» (с изменениями и дополнениями)</w:t>
            </w:r>
          </w:p>
        </w:tc>
      </w:tr>
      <w:tr w:rsidR="00D15936" w:rsidRPr="00936D1C" w:rsidTr="0082186D">
        <w:trPr>
          <w:trHeight w:val="623"/>
        </w:trPr>
        <w:tc>
          <w:tcPr>
            <w:tcW w:w="6096" w:type="dxa"/>
          </w:tcPr>
          <w:p w:rsidR="00D15936" w:rsidRPr="00936D1C" w:rsidRDefault="00D15936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Содержание животных на территории городского поселения Пионерский осуществляется в соответствии с федеральными законами  и законами Ханты-Мансийского автономного округа – Югры в области обращения с животными и осуществление контроля за их исполнением Лица, осуществляющие выгул животных на озеленённых территориях общего пользования, озеленённых территориях ограниченного пользования, озеленённых территориях специального назначения, придомовых территориях, территориях улично-дорожной сети, обязаны осуществлять уборку экскрементов за своими животными.</w:t>
            </w:r>
          </w:p>
        </w:tc>
        <w:tc>
          <w:tcPr>
            <w:tcW w:w="6124" w:type="dxa"/>
          </w:tcPr>
          <w:p w:rsidR="00D15936" w:rsidRPr="00936D1C" w:rsidRDefault="00D15936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 Содержание животных на территории городского поселения Пионерский осуществляется в соответствии с федеральными законами  и законами Ханты-Мансийского автономного округа – Югры в области обращения с животными.</w:t>
            </w:r>
          </w:p>
        </w:tc>
        <w:tc>
          <w:tcPr>
            <w:tcW w:w="3666" w:type="dxa"/>
            <w:vMerge/>
          </w:tcPr>
          <w:p w:rsidR="00D15936" w:rsidRPr="00936D1C" w:rsidRDefault="00D15936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C1F5D" w:rsidRPr="00936D1C" w:rsidTr="0082186D">
        <w:trPr>
          <w:trHeight w:val="623"/>
        </w:trPr>
        <w:tc>
          <w:tcPr>
            <w:tcW w:w="6096" w:type="dxa"/>
          </w:tcPr>
          <w:p w:rsidR="003C1F5D" w:rsidRPr="00936D1C" w:rsidRDefault="0082186D" w:rsidP="008218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="003C1F5D" w:rsidRP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 6 статьи 38 приложения к решению</w:t>
            </w:r>
          </w:p>
        </w:tc>
        <w:tc>
          <w:tcPr>
            <w:tcW w:w="6124" w:type="dxa"/>
          </w:tcPr>
          <w:p w:rsidR="003C1F5D" w:rsidRPr="00936D1C" w:rsidRDefault="003C1F5D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6 статьи 38 приложения к решению</w:t>
            </w:r>
          </w:p>
        </w:tc>
        <w:tc>
          <w:tcPr>
            <w:tcW w:w="3666" w:type="dxa"/>
            <w:vMerge w:val="restart"/>
          </w:tcPr>
          <w:p w:rsidR="003C1F5D" w:rsidRPr="00936D1C" w:rsidRDefault="003C1F5D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C1F5D" w:rsidRPr="0003455B" w:rsidTr="0082186D">
        <w:trPr>
          <w:trHeight w:val="623"/>
        </w:trPr>
        <w:tc>
          <w:tcPr>
            <w:tcW w:w="6096" w:type="dxa"/>
          </w:tcPr>
          <w:p w:rsidR="003C1F5D" w:rsidRPr="003C1F5D" w:rsidRDefault="003C1F5D" w:rsidP="005A5A71">
            <w:pPr>
              <w:ind w:firstLine="91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6. Владельцам домашних животных во время их выгула в местах и на территориях общего пользования обеспечить уборку продуктов жизнедеятельности животных.</w:t>
            </w:r>
          </w:p>
        </w:tc>
        <w:tc>
          <w:tcPr>
            <w:tcW w:w="6124" w:type="dxa"/>
          </w:tcPr>
          <w:p w:rsidR="003C1F5D" w:rsidRPr="003C1F5D" w:rsidRDefault="003C1F5D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F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      </w:r>
          </w:p>
          <w:p w:rsidR="003C1F5D" w:rsidRPr="003C1F5D" w:rsidRDefault="003C1F5D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F5D">
              <w:rPr>
                <w:rFonts w:ascii="Times New Roman" w:hAnsi="Times New Roman" w:cs="Times New Roman"/>
                <w:bCs/>
                <w:sz w:val="18"/>
                <w:szCs w:val="18"/>
              </w:rPr>
      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      </w:r>
          </w:p>
          <w:p w:rsidR="003C1F5D" w:rsidRPr="003C1F5D" w:rsidRDefault="003C1F5D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F5D">
              <w:rPr>
                <w:rFonts w:ascii="Times New Roman" w:hAnsi="Times New Roman" w:cs="Times New Roman"/>
                <w:bCs/>
                <w:sz w:val="18"/>
                <w:szCs w:val="18"/>
              </w:rPr>
              <w:t>2) обеспечивать уборку продуктов жизнедеятельности животного в местах и на территориях общего пользования;</w:t>
            </w:r>
          </w:p>
          <w:p w:rsidR="003C1F5D" w:rsidRPr="003C1F5D" w:rsidRDefault="003C1F5D" w:rsidP="005A5A71">
            <w:pPr>
              <w:widowControl w:val="0"/>
              <w:suppressAutoHyphens/>
              <w:spacing w:after="0" w:line="240" w:lineRule="auto"/>
              <w:ind w:firstLine="91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F5D">
              <w:rPr>
                <w:rFonts w:ascii="Times New Roman" w:hAnsi="Times New Roman" w:cs="Times New Roman"/>
                <w:bCs/>
                <w:sz w:val="18"/>
                <w:szCs w:val="18"/>
              </w:rPr>
      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      </w:r>
          </w:p>
        </w:tc>
        <w:tc>
          <w:tcPr>
            <w:tcW w:w="3666" w:type="dxa"/>
            <w:vMerge/>
          </w:tcPr>
          <w:p w:rsidR="003C1F5D" w:rsidRPr="0003455B" w:rsidRDefault="003C1F5D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72D37" w:rsidRDefault="00672D37" w:rsidP="000345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03455B" w:rsidRPr="0003455B" w:rsidRDefault="0003455B" w:rsidP="000345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</w:pPr>
      <w:r w:rsidRPr="0003455B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Начальник юридического отдела                        Н.Г.  </w:t>
      </w:r>
      <w:proofErr w:type="spellStart"/>
      <w:r w:rsidRPr="0003455B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Лисицина</w:t>
      </w:r>
      <w:proofErr w:type="spellEnd"/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55B" w:rsidRDefault="0003455B"/>
    <w:sectPr w:rsidR="0003455B" w:rsidSect="00034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5B"/>
    <w:rsid w:val="0003455B"/>
    <w:rsid w:val="000A0D4B"/>
    <w:rsid w:val="000E5213"/>
    <w:rsid w:val="00141628"/>
    <w:rsid w:val="0014248D"/>
    <w:rsid w:val="001A0CEB"/>
    <w:rsid w:val="0026028A"/>
    <w:rsid w:val="00282859"/>
    <w:rsid w:val="0029647F"/>
    <w:rsid w:val="002C007D"/>
    <w:rsid w:val="002F34A4"/>
    <w:rsid w:val="00304854"/>
    <w:rsid w:val="0036602C"/>
    <w:rsid w:val="0038110F"/>
    <w:rsid w:val="003C1F5D"/>
    <w:rsid w:val="004015F1"/>
    <w:rsid w:val="004046FF"/>
    <w:rsid w:val="00420038"/>
    <w:rsid w:val="0042465B"/>
    <w:rsid w:val="00454625"/>
    <w:rsid w:val="00480B6C"/>
    <w:rsid w:val="00543D61"/>
    <w:rsid w:val="00560417"/>
    <w:rsid w:val="0058026F"/>
    <w:rsid w:val="005A5A71"/>
    <w:rsid w:val="005D057A"/>
    <w:rsid w:val="005F1E5C"/>
    <w:rsid w:val="005F7E73"/>
    <w:rsid w:val="00672D37"/>
    <w:rsid w:val="006B593F"/>
    <w:rsid w:val="006E16B8"/>
    <w:rsid w:val="006E62E3"/>
    <w:rsid w:val="006F71FC"/>
    <w:rsid w:val="0070477D"/>
    <w:rsid w:val="007506C4"/>
    <w:rsid w:val="007667EB"/>
    <w:rsid w:val="0077674C"/>
    <w:rsid w:val="00803D52"/>
    <w:rsid w:val="0082186D"/>
    <w:rsid w:val="00824F1D"/>
    <w:rsid w:val="008758E5"/>
    <w:rsid w:val="00891B1D"/>
    <w:rsid w:val="00923B15"/>
    <w:rsid w:val="00936D1C"/>
    <w:rsid w:val="00954360"/>
    <w:rsid w:val="009A5217"/>
    <w:rsid w:val="009C7326"/>
    <w:rsid w:val="00A11368"/>
    <w:rsid w:val="00A22D7E"/>
    <w:rsid w:val="00A6162C"/>
    <w:rsid w:val="00AB7519"/>
    <w:rsid w:val="00B05975"/>
    <w:rsid w:val="00B176F6"/>
    <w:rsid w:val="00B81914"/>
    <w:rsid w:val="00BE4F56"/>
    <w:rsid w:val="00C15BF8"/>
    <w:rsid w:val="00C178EE"/>
    <w:rsid w:val="00C26BDB"/>
    <w:rsid w:val="00C5358B"/>
    <w:rsid w:val="00CA0D6D"/>
    <w:rsid w:val="00D15936"/>
    <w:rsid w:val="00D24B9D"/>
    <w:rsid w:val="00E11DD7"/>
    <w:rsid w:val="00E911E7"/>
    <w:rsid w:val="00EB7E35"/>
    <w:rsid w:val="00EF6A36"/>
    <w:rsid w:val="00F278D3"/>
    <w:rsid w:val="00F51330"/>
    <w:rsid w:val="00F65650"/>
    <w:rsid w:val="00F732DD"/>
    <w:rsid w:val="00F932A6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098C"/>
  <w15:docId w15:val="{0FF98294-6907-451F-83E2-DADCAB13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38</cp:revision>
  <cp:lastPrinted>2023-10-30T12:51:00Z</cp:lastPrinted>
  <dcterms:created xsi:type="dcterms:W3CDTF">2023-10-30T11:07:00Z</dcterms:created>
  <dcterms:modified xsi:type="dcterms:W3CDTF">2023-10-31T09:14:00Z</dcterms:modified>
</cp:coreProperties>
</file>